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540FB4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2357F4">
        <w:rPr>
          <w:rFonts w:ascii="Traditional Arabic" w:hAnsi="Traditional Arabic" w:hint="cs"/>
          <w:b/>
          <w:bCs/>
          <w:sz w:val="32"/>
          <w:szCs w:val="32"/>
          <w:rtl/>
        </w:rPr>
        <w:t>النهرين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2357F4">
        <w:rPr>
          <w:rFonts w:ascii="Traditional Arabic" w:hAnsi="Traditional Arabic" w:hint="cs"/>
          <w:b/>
          <w:bCs/>
          <w:sz w:val="32"/>
          <w:szCs w:val="32"/>
          <w:rtl/>
        </w:rPr>
        <w:t>الطب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2357F4">
        <w:rPr>
          <w:rFonts w:ascii="Traditional Arabic" w:hAnsi="Traditional Arabic" w:hint="cs"/>
          <w:b/>
          <w:bCs/>
          <w:sz w:val="32"/>
          <w:szCs w:val="32"/>
          <w:rtl/>
        </w:rPr>
        <w:t>الطب الباطني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2357F4">
        <w:rPr>
          <w:rFonts w:ascii="Traditional Arabic" w:hAnsi="Traditional Arabic" w:hint="cs"/>
          <w:b/>
          <w:bCs/>
          <w:sz w:val="32"/>
          <w:szCs w:val="32"/>
          <w:rtl/>
        </w:rPr>
        <w:t>نيسان 2017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2357F4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2357F4">
        <w:rPr>
          <w:rFonts w:ascii="Traditional Arabic" w:hAnsi="Traditional Arabic" w:hint="cs"/>
          <w:b/>
          <w:bCs/>
          <w:sz w:val="32"/>
          <w:szCs w:val="32"/>
          <w:rtl/>
        </w:rPr>
        <w:t xml:space="preserve">أ.د. وسيم فاضل التميمي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2357F4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2357F4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</w:t>
      </w:r>
      <w:r w:rsidR="002357F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2357F4">
        <w:rPr>
          <w:rFonts w:ascii="Traditional Arabic" w:hAnsi="Traditional Arabic"/>
          <w:b/>
          <w:bCs/>
          <w:sz w:val="32"/>
          <w:szCs w:val="32"/>
        </w:rPr>
        <w:t>15</w:t>
      </w:r>
      <w:r w:rsidR="002357F4">
        <w:rPr>
          <w:rFonts w:ascii="Traditional Arabic" w:hAnsi="Traditional Arabic" w:hint="cs"/>
          <w:b/>
          <w:bCs/>
          <w:sz w:val="32"/>
          <w:szCs w:val="32"/>
          <w:rtl/>
        </w:rPr>
        <w:t xml:space="preserve"> نيسان 2017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bookmarkStart w:id="0" w:name="_GoBack"/>
      <w:bookmarkEnd w:id="0"/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E2B72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91A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Pr="00FE2B7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C033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>النهرين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033B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الطب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C033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يومي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C033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C033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C033B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 نيسان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C033B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1-اكتساب المهارات السريرية من خلال التواجد في استشارية الطب البااطني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C033B2" w:rsidRDefault="00C033B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2- الاطلاع</w:t>
            </w:r>
            <w:r w:rsidR="00774226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على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الحالات المريضية الاكثر شيوعيا 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C033B2" w:rsidRDefault="00C033B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3- التعرف على طريقة التشخيص الصحيحة وتجنب طلب الفحوصات الغير ضرورية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774226" w:rsidP="0077422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4- التعرف على الحالات التي يستوجب ادخالها المستشفى والحالات التي لا تحتاج لذلك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77422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5- تعلم كيفية التعامل مع المرضى وذويهم اثناء مراجعتهم المستشفى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65AB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2C2B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تشخيص الامراض من خلال التعرف على تاريخ المرض وعلاماته السريرية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8D75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الطالب قادرا على الفحص السريري للمريض والتوصل لعلامات المرض السريرية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8D75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يكون قادرا على التعرف على الاستخدام الامثل للفحوصات الشعاعية والمختبرية لكل مرض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  <w:r w:rsidR="002C2B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اكتساب القدرة على التعرف على العلامات السريرية الخاصة لبعض الامراض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 w:rsidR="002C2B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امتلاك القدرة لاجراء التشخيص التفريقي للامراض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  <w:r w:rsidR="002C2B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امتلاك القدره على استخدام الفحوصات الضرورية لكل مرض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D7599" w:rsidRDefault="008D7599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التواجد اليومي في استشارية الطب الباطني العامه والتخصيصية والنقاش مع الطبيب الاختصاص حول كل حالة مرضيه.</w:t>
            </w:r>
          </w:p>
          <w:p w:rsidR="008A3F48" w:rsidRDefault="008D7599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استقبال المرضى والتحدث معهم عن تاريخ مرضهم واجراء الفحص السريري .</w:t>
            </w:r>
          </w:p>
          <w:p w:rsidR="008D7599" w:rsidRPr="00FE2B72" w:rsidRDefault="008D7599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النقاش من قبل الطبيب المختص عن كل مريض وعن التشخيص التفريقي</w:t>
            </w:r>
            <w:r w:rsidR="0037134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وعن افضل الفحوصات لكل حالة مرضية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Default="003E395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امتحان سريري نصف فصلي.</w:t>
            </w:r>
          </w:p>
          <w:p w:rsidR="003E395B" w:rsidRPr="00FE2B72" w:rsidRDefault="003E395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2.امتحان نهائي ( نظري/ سريري)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3E395B" w:rsidRPr="00FE2B72" w:rsidRDefault="003E395B" w:rsidP="003E395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الاهتمام بالتعامل الاخلاقي مع المريض</w:t>
            </w:r>
          </w:p>
          <w:p w:rsidR="008A3F48" w:rsidRPr="00FE2B72" w:rsidRDefault="008A3F48" w:rsidP="003E395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3E395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التعاطف مع حالة المريض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3E395B" w:rsidRDefault="003E395B" w:rsidP="003E395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التوصل بين الطالب والاستاذ او بين الطالب والمريض</w:t>
            </w:r>
          </w:p>
          <w:p w:rsidR="003E395B" w:rsidRDefault="003E395B" w:rsidP="003E395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الاقتداء بالنموج الصحيح في التعامل اليومي مع المرضى وذويهم</w:t>
            </w:r>
          </w:p>
          <w:p w:rsidR="008A3F48" w:rsidRPr="00FE2B72" w:rsidRDefault="003E395B" w:rsidP="003E395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  اليومية في النقاش وطرح الاراء  وامكانية التعليق والتقييم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3E395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زرع الثقه لدى الطالب في كيفية التعامل مع المريض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3E395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الاعتماد على الذات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FE2B72">
        <w:trPr>
          <w:trHeight w:val="907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:rsidTr="00FE2B72">
        <w:trPr>
          <w:trHeight w:val="399"/>
        </w:trPr>
        <w:tc>
          <w:tcPr>
            <w:tcW w:w="1260" w:type="dxa"/>
            <w:shd w:val="clear" w:color="auto" w:fill="auto"/>
          </w:tcPr>
          <w:p w:rsidR="007B21F5" w:rsidRPr="00FE2B72" w:rsidRDefault="003E395B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3E395B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E395B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القدره على الاستفاده من العلوم النظريه وترجمتها على الواقع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E395B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الطب الباطني السريري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F86D49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التواصل المباشر مع المريض والنقاش مع الطبيب المختص</w:t>
            </w:r>
          </w:p>
        </w:tc>
        <w:tc>
          <w:tcPr>
            <w:tcW w:w="1440" w:type="dxa"/>
            <w:shd w:val="clear" w:color="auto" w:fill="auto"/>
          </w:tcPr>
          <w:p w:rsidR="00F86D49" w:rsidRDefault="00F86D49" w:rsidP="00F86D4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اليومي</w:t>
            </w:r>
          </w:p>
          <w:p w:rsidR="00F86D49" w:rsidRDefault="00F86D49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 والتفاعل اليومي</w:t>
            </w:r>
          </w:p>
          <w:p w:rsidR="00F86D49" w:rsidRDefault="00F86D49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86D49" w:rsidRPr="00F86D49" w:rsidRDefault="00F86D49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39"/>
        </w:trPr>
        <w:tc>
          <w:tcPr>
            <w:tcW w:w="1260" w:type="dxa"/>
            <w:shd w:val="clear" w:color="auto" w:fill="auto"/>
          </w:tcPr>
          <w:p w:rsidR="007B21F5" w:rsidRPr="00FE2B72" w:rsidRDefault="00F86D49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F86D49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F86D49" w:rsidP="00F86D49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تشخيص الامراض من خلال تاريخ المرض والفحص السريري واسخدام الفحوصات المختلفة</w:t>
            </w:r>
          </w:p>
        </w:tc>
        <w:tc>
          <w:tcPr>
            <w:tcW w:w="2160" w:type="dxa"/>
            <w:shd w:val="clear" w:color="auto" w:fill="auto"/>
          </w:tcPr>
          <w:p w:rsidR="007B21F5" w:rsidRPr="00F86D49" w:rsidRDefault="00F86D49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الطب الباطني السريري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F86D49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 المستمر والنقاش عن كل حالة مرضية</w:t>
            </w:r>
          </w:p>
        </w:tc>
        <w:tc>
          <w:tcPr>
            <w:tcW w:w="1440" w:type="dxa"/>
            <w:shd w:val="clear" w:color="auto" w:fill="auto"/>
          </w:tcPr>
          <w:p w:rsidR="002C7E96" w:rsidRDefault="002C7E96" w:rsidP="002C7E9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سريري نصف فصلي</w:t>
            </w:r>
          </w:p>
          <w:p w:rsidR="007B21F5" w:rsidRPr="00FE2B72" w:rsidRDefault="007B21F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20"/>
        </w:trPr>
        <w:tc>
          <w:tcPr>
            <w:tcW w:w="1260" w:type="dxa"/>
            <w:shd w:val="clear" w:color="auto" w:fill="auto"/>
          </w:tcPr>
          <w:p w:rsidR="007B21F5" w:rsidRPr="00FE2B72" w:rsidRDefault="002C7E9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2C7E9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B02C3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الحالات الاكثر شيوعا واعراضها وعلاماته والطرق الصحيحة في تشخيصها</w:t>
            </w:r>
          </w:p>
        </w:tc>
        <w:tc>
          <w:tcPr>
            <w:tcW w:w="2160" w:type="dxa"/>
            <w:shd w:val="clear" w:color="auto" w:fill="auto"/>
          </w:tcPr>
          <w:p w:rsidR="007B21F5" w:rsidRPr="00B02C31" w:rsidRDefault="00B02C3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الطب الباطني السريري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0E3F1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التواصل المباشر مع المريض والنقاش مع الطبيب المختص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B02C31" w:rsidP="002C7E9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نهائي ( نظري/ سريري)</w:t>
            </w:r>
          </w:p>
        </w:tc>
      </w:tr>
      <w:tr w:rsidR="007B21F5" w:rsidRPr="00FE2B72" w:rsidTr="00FE2B72">
        <w:trPr>
          <w:trHeight w:val="331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40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23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EA50F6" w:rsidRDefault="00540FB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hyperlink r:id="rId10" w:history="1">
              <w:r w:rsidR="00EA50F6" w:rsidRPr="00EA50F6">
                <w:rPr>
                  <w:rFonts w:asciiTheme="majorBidi" w:hAnsiTheme="majorBidi" w:cstheme="majorBidi"/>
                  <w:sz w:val="27"/>
                  <w:szCs w:val="27"/>
                </w:rPr>
                <w:t xml:space="preserve">Macleod's Clinical Examination </w:t>
              </w:r>
            </w:hyperlink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B4" w:rsidRDefault="00540FB4">
      <w:r>
        <w:separator/>
      </w:r>
    </w:p>
  </w:endnote>
  <w:endnote w:type="continuationSeparator" w:id="0">
    <w:p w:rsidR="00540FB4" w:rsidRDefault="0054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6A6905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6A6905" w:rsidRPr="00807DE1">
            <w:rPr>
              <w:rFonts w:cs="Arial"/>
            </w:rPr>
            <w:fldChar w:fldCharType="separate"/>
          </w:r>
          <w:r w:rsidR="002357F4" w:rsidRPr="002357F4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6A6905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B4" w:rsidRDefault="00540FB4">
      <w:r>
        <w:separator/>
      </w:r>
    </w:p>
  </w:footnote>
  <w:footnote w:type="continuationSeparator" w:id="0">
    <w:p w:rsidR="00540FB4" w:rsidRDefault="0054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1"/>
  </w:num>
  <w:num w:numId="14">
    <w:abstractNumId w:val="36"/>
  </w:num>
  <w:num w:numId="15">
    <w:abstractNumId w:val="2"/>
  </w:num>
  <w:num w:numId="16">
    <w:abstractNumId w:val="22"/>
  </w:num>
  <w:num w:numId="17">
    <w:abstractNumId w:val="17"/>
  </w:num>
  <w:num w:numId="18">
    <w:abstractNumId w:val="34"/>
  </w:num>
  <w:num w:numId="19">
    <w:abstractNumId w:val="19"/>
  </w:num>
  <w:num w:numId="20">
    <w:abstractNumId w:val="4"/>
  </w:num>
  <w:num w:numId="21">
    <w:abstractNumId w:val="33"/>
  </w:num>
  <w:num w:numId="22">
    <w:abstractNumId w:val="20"/>
  </w:num>
  <w:num w:numId="23">
    <w:abstractNumId w:val="12"/>
  </w:num>
  <w:num w:numId="24">
    <w:abstractNumId w:val="30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2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C2D8D"/>
    <w:rsid w:val="000D53B9"/>
    <w:rsid w:val="000E19A2"/>
    <w:rsid w:val="000E3F13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916A2"/>
    <w:rsid w:val="001B0307"/>
    <w:rsid w:val="001C1CD7"/>
    <w:rsid w:val="001D3B40"/>
    <w:rsid w:val="001D678C"/>
    <w:rsid w:val="002000D6"/>
    <w:rsid w:val="00203A53"/>
    <w:rsid w:val="0020555A"/>
    <w:rsid w:val="00210E10"/>
    <w:rsid w:val="002357F4"/>
    <w:rsid w:val="002358AF"/>
    <w:rsid w:val="00236F0D"/>
    <w:rsid w:val="0023793A"/>
    <w:rsid w:val="00242DCC"/>
    <w:rsid w:val="00297E64"/>
    <w:rsid w:val="002A1AF6"/>
    <w:rsid w:val="002B28B2"/>
    <w:rsid w:val="002C2B50"/>
    <w:rsid w:val="002C3F0D"/>
    <w:rsid w:val="002C7E96"/>
    <w:rsid w:val="002D2398"/>
    <w:rsid w:val="002F032D"/>
    <w:rsid w:val="002F1537"/>
    <w:rsid w:val="00305509"/>
    <w:rsid w:val="0030567D"/>
    <w:rsid w:val="003068D1"/>
    <w:rsid w:val="003132A6"/>
    <w:rsid w:val="003172E2"/>
    <w:rsid w:val="00327FCC"/>
    <w:rsid w:val="0034068F"/>
    <w:rsid w:val="003555F3"/>
    <w:rsid w:val="00371342"/>
    <w:rsid w:val="00372012"/>
    <w:rsid w:val="00382C80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395B"/>
    <w:rsid w:val="003E55DB"/>
    <w:rsid w:val="003F6248"/>
    <w:rsid w:val="00406DC6"/>
    <w:rsid w:val="004361D7"/>
    <w:rsid w:val="004662C5"/>
    <w:rsid w:val="0048407D"/>
    <w:rsid w:val="004A4634"/>
    <w:rsid w:val="004A6A6D"/>
    <w:rsid w:val="004B3A1C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0FB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71EDD"/>
    <w:rsid w:val="00677895"/>
    <w:rsid w:val="006A1ABC"/>
    <w:rsid w:val="006A6905"/>
    <w:rsid w:val="006A73CC"/>
    <w:rsid w:val="006C2FDA"/>
    <w:rsid w:val="006D2916"/>
    <w:rsid w:val="006D4F39"/>
    <w:rsid w:val="0075633E"/>
    <w:rsid w:val="007645B4"/>
    <w:rsid w:val="007716A6"/>
    <w:rsid w:val="00774226"/>
    <w:rsid w:val="0078752C"/>
    <w:rsid w:val="0079031B"/>
    <w:rsid w:val="007A7C20"/>
    <w:rsid w:val="007B0B99"/>
    <w:rsid w:val="007B21F5"/>
    <w:rsid w:val="007B671C"/>
    <w:rsid w:val="007F319C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C3854"/>
    <w:rsid w:val="008D7599"/>
    <w:rsid w:val="008E27DA"/>
    <w:rsid w:val="008F24B4"/>
    <w:rsid w:val="008F3E7F"/>
    <w:rsid w:val="00902FDF"/>
    <w:rsid w:val="00920D1B"/>
    <w:rsid w:val="00925B10"/>
    <w:rsid w:val="009428CF"/>
    <w:rsid w:val="00953A58"/>
    <w:rsid w:val="00967B24"/>
    <w:rsid w:val="009732FB"/>
    <w:rsid w:val="0098449B"/>
    <w:rsid w:val="0098755F"/>
    <w:rsid w:val="009A07B9"/>
    <w:rsid w:val="009A6255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1BD9"/>
    <w:rsid w:val="00AD37EA"/>
    <w:rsid w:val="00AD4058"/>
    <w:rsid w:val="00B02C31"/>
    <w:rsid w:val="00B04671"/>
    <w:rsid w:val="00B15F45"/>
    <w:rsid w:val="00B17E3D"/>
    <w:rsid w:val="00B32265"/>
    <w:rsid w:val="00B412FE"/>
    <w:rsid w:val="00B5102D"/>
    <w:rsid w:val="00B521B7"/>
    <w:rsid w:val="00B727AD"/>
    <w:rsid w:val="00BC76C0"/>
    <w:rsid w:val="00BF2B60"/>
    <w:rsid w:val="00C033B2"/>
    <w:rsid w:val="00C342BC"/>
    <w:rsid w:val="00C370D1"/>
    <w:rsid w:val="00C65ABC"/>
    <w:rsid w:val="00C758B3"/>
    <w:rsid w:val="00C83DB3"/>
    <w:rsid w:val="00C85B2D"/>
    <w:rsid w:val="00C90C62"/>
    <w:rsid w:val="00CA2091"/>
    <w:rsid w:val="00CA40AC"/>
    <w:rsid w:val="00CA776F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E17DF2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A50F6"/>
    <w:rsid w:val="00EB39F9"/>
    <w:rsid w:val="00EC2141"/>
    <w:rsid w:val="00EE06F8"/>
    <w:rsid w:val="00EE0DAB"/>
    <w:rsid w:val="00EE1AC2"/>
    <w:rsid w:val="00F170F4"/>
    <w:rsid w:val="00F3010C"/>
    <w:rsid w:val="00F352D5"/>
    <w:rsid w:val="00F35589"/>
    <w:rsid w:val="00F41CB9"/>
    <w:rsid w:val="00F44630"/>
    <w:rsid w:val="00F45D88"/>
    <w:rsid w:val="00F550BE"/>
    <w:rsid w:val="00F716E7"/>
    <w:rsid w:val="00F745F2"/>
    <w:rsid w:val="00F80574"/>
    <w:rsid w:val="00F86D49"/>
    <w:rsid w:val="00F87100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sa=t&amp;rct=j&amp;q=&amp;esrc=s&amp;source=web&amp;cd=2&amp;cad=rja&amp;uact=8&amp;ved=0ahUKEwiBhsKm5anTAhXQZlAKHYzgBccQFggoMAE&amp;url=https%3A%2F%2Fwww.facebook.com%2FSmartDoctorsStudentDoctors%2Fphotos%2Fa.278124510671.153007.256695340671%2F10153053306820672%2F%3Ftype%3D3&amp;usg=AFQjCNGjL1Lu5MIwIIZNhOhoP0mcIDN5cw&amp;sig2=9wTw1nTJkDPUnpDQivFcLA&amp;bvm=bv.152479541,d.ZW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07C5-0B8F-49E9-BEF3-EB16ABBF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Medicine</cp:lastModifiedBy>
  <cp:revision>2</cp:revision>
  <cp:lastPrinted>2016-03-28T11:32:00Z</cp:lastPrinted>
  <dcterms:created xsi:type="dcterms:W3CDTF">2017-04-26T05:52:00Z</dcterms:created>
  <dcterms:modified xsi:type="dcterms:W3CDTF">2017-04-26T05:52:00Z</dcterms:modified>
</cp:coreProperties>
</file>